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1BA1" w14:textId="77777777" w:rsidR="007513A0" w:rsidRDefault="00DE5D19" w:rsidP="002B466E">
      <w:pPr>
        <w:widowControl/>
        <w:shd w:val="clear" w:color="auto" w:fill="FFFFFF"/>
        <w:spacing w:before="150" w:after="150" w:line="360" w:lineRule="atLeast"/>
        <w:jc w:val="center"/>
        <w:outlineLvl w:val="3"/>
        <w:rPr>
          <w:rFonts w:ascii="微软雅黑" w:eastAsia="微软雅黑" w:hAnsi="微软雅黑" w:cs="宋体"/>
          <w:b/>
          <w:bCs/>
          <w:color w:val="333333"/>
          <w:kern w:val="0"/>
          <w:sz w:val="30"/>
          <w:szCs w:val="30"/>
        </w:rPr>
      </w:pPr>
      <w:r w:rsidRPr="00DE5D19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聊城市市场监督管理局</w:t>
      </w:r>
    </w:p>
    <w:p w14:paraId="00BEEED1" w14:textId="28315B30" w:rsidR="00DE5D19" w:rsidRPr="00DE5D19" w:rsidRDefault="00DE5D19" w:rsidP="002B466E">
      <w:pPr>
        <w:widowControl/>
        <w:shd w:val="clear" w:color="auto" w:fill="FFFFFF"/>
        <w:spacing w:before="150" w:after="150" w:line="360" w:lineRule="atLeast"/>
        <w:jc w:val="center"/>
        <w:outlineLvl w:val="3"/>
        <w:rPr>
          <w:rFonts w:ascii="微软雅黑" w:eastAsia="微软雅黑" w:hAnsi="微软雅黑" w:cs="宋体"/>
          <w:b/>
          <w:bCs/>
          <w:color w:val="333333"/>
          <w:kern w:val="0"/>
          <w:sz w:val="30"/>
          <w:szCs w:val="30"/>
        </w:rPr>
      </w:pPr>
      <w:r w:rsidRPr="00DE5D19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2020年政府信息公开工作年度报告</w:t>
      </w:r>
    </w:p>
    <w:p w14:paraId="08E05876" w14:textId="449C5765" w:rsidR="00DE5D19" w:rsidRPr="00DE5D19" w:rsidRDefault="00DE5D19"/>
    <w:p w14:paraId="3B854D72" w14:textId="77777777" w:rsidR="00DE5D19" w:rsidRPr="00DE5D19" w:rsidRDefault="00DE5D19" w:rsidP="007513A0">
      <w:pPr>
        <w:widowControl/>
        <w:shd w:val="clear" w:color="auto" w:fill="FFFFFF"/>
        <w:spacing w:line="555" w:lineRule="atLeast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E5D1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《中华人民共和国政府信息公开条例》（以下简称《条例》）规定，特向社会公布2020年度聊城市市场监督管理局政府信息公开年度报告。本报告由总体情况、主动公开政府信息情况、收到和处理政府信息公开申请情况、政府信息公开行政复议、行政诉讼情况、存在的问题及改进情况、其他需要报告的事项等六部分组成。</w:t>
      </w:r>
    </w:p>
    <w:p w14:paraId="03F8E51C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一、总体情况</w:t>
      </w:r>
    </w:p>
    <w:p w14:paraId="7E7A1CB7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年，我局深入贯彻《中华人民共和国政府信息公开条例》，认真落实党中央、国务院和市委、市政府关于政府信息公开工作的系列部署，围绕落实市场监管职能，积极主动开展政府信息公开工作，依法受理和解决群众在信息公开方面的各类诉求，稳步推进政府信息公开工作的规范化、制度化和标准化管理，充分发挥以政务公开促市场监管工作落实、促工作规范、促服务能力提升的作用，为市场监管工作接受社会各界和人民群众监督提供有力保障，为提升聊城市场监管工作和服务水平发挥了积极作用。</w:t>
      </w:r>
    </w:p>
    <w:p w14:paraId="2DAC8581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楷体_GB2312" w:eastAsia="楷体_GB2312" w:hAnsi="微软雅黑" w:cs="宋体" w:hint="eastAsia"/>
          <w:color w:val="000000"/>
          <w:kern w:val="0"/>
          <w:sz w:val="32"/>
          <w:szCs w:val="32"/>
        </w:rPr>
        <w:t>（一）健全完善组织领导机构。</w:t>
      </w:r>
      <w:r w:rsidRPr="00DE5D1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持续整合全局政府信息公开力量，把政府信息公开纳入年度工作计划，摆上重要</w:t>
      </w:r>
      <w:r w:rsidRPr="00DE5D1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议事日程，调整了政务公开工作领导小组，做到领导、机构、人员“三到位”，构建“局领导挂帅、办公室具体抓、责任到科室、任务到人头”的工作机制，形成上下联动、整体推进的工作体系，推动政府信息公开工作有序开展。</w:t>
      </w:r>
    </w:p>
    <w:p w14:paraId="4E8A646E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楷体_GB2312" w:eastAsia="楷体_GB2312" w:hAnsi="微软雅黑" w:cs="宋体" w:hint="eastAsia"/>
          <w:color w:val="000000"/>
          <w:kern w:val="0"/>
          <w:sz w:val="32"/>
          <w:szCs w:val="32"/>
        </w:rPr>
        <w:t>（二）大力推进政府信息主动公开。</w:t>
      </w:r>
      <w:r w:rsidRPr="00DE5D1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重新审定了主动公开目录，进一步建立完善了政府信息公开的发布协调、保密审查、评议考核等工作规定，明确了分工、细化了步骤、优化了流程，确保政府信息公开工作的有序开展。利用聊城市市场监督管理局门户网站、聊城市政府信息公开平台、聊城市市场监督管理政务</w:t>
      </w:r>
      <w:proofErr w:type="gramStart"/>
      <w:r w:rsidRPr="00DE5D1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微信公众号</w:t>
      </w:r>
      <w:proofErr w:type="gramEnd"/>
      <w:r w:rsidRPr="00DE5D1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、电视台、报纸等平台主动公开各方面政务信息800余条，切实满足群众对政府信息的获取需求。</w:t>
      </w:r>
    </w:p>
    <w:p w14:paraId="2E3B9D23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（三）加强督办，切实做好依申请工作。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我局及时收取和转办、交办政府信息依申请公开事项，建立台账，实施登记管理归档制度，并对转办、交办的政府信息依申请公开事项及时提醒，定时督办，确保限时办结。</w:t>
      </w:r>
      <w:r w:rsidRPr="00DE5D19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2020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年，共办理</w:t>
      </w:r>
      <w:r w:rsidRPr="00DE5D1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依申请公开信息9条，全部依法按时办结。</w:t>
      </w:r>
    </w:p>
    <w:p w14:paraId="40082500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（四）做好政务信息公开管理工作。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我局按照市政府信息发布保密审查和内容审核机制。对外公开的信息，必须由科室负责人、局领导或基层单位负责人</w:t>
      </w:r>
      <w:proofErr w:type="gramStart"/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签字再</w:t>
      </w:r>
      <w:proofErr w:type="gramEnd"/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进行公开，以保证公开信息的准确性和严谨性。</w:t>
      </w:r>
    </w:p>
    <w:p w14:paraId="13805050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lastRenderedPageBreak/>
        <w:t>（五）不断完善政务公开平台建设。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持续加强政务公开平台建设。一是做好网站改版及隐患排查工作。积极按照市政府及有关部门网站具体要求，积极开展网站改版工作，确保网站设计符合政务公开页面要求。同时，积极配合市有关部门开展网站隐患排查，及时进行网站及数据整改维护，确保建设安全网络环境。二是做好政务新媒体建设。坚持运行好、维护好“聊城市场监管”</w:t>
      </w:r>
      <w:proofErr w:type="gramStart"/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微信公众号</w:t>
      </w:r>
      <w:proofErr w:type="gramEnd"/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，及时根据疫情防控、职能变化调整栏目设置，及时发布热点信息，提高内容更新频次，确保平台建有所用。</w:t>
      </w:r>
    </w:p>
    <w:p w14:paraId="3C95C256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（六）深化信息公开监督保障。</w:t>
      </w:r>
      <w:r w:rsidRPr="00DE5D19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2020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年，我局主要领导共听取政务公开工作汇报</w:t>
      </w:r>
      <w:r w:rsidRPr="00DE5D19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次，召开局党组会研究政务公开事项</w:t>
      </w:r>
      <w:r w:rsidRPr="00DE5D19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次，并作重要指示。针对市政府政务公开办公室《关于聊城市</w:t>
      </w:r>
      <w:r w:rsidRPr="00DE5D19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2019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年度政务公开工作考核情况的通报》，我局主要负责同志</w:t>
      </w:r>
      <w:proofErr w:type="gramStart"/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作出</w:t>
      </w:r>
      <w:proofErr w:type="gramEnd"/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重要批示，并亲自挂帅，对市场监管政务公开工作进行统筹规划，全面布局，在</w:t>
      </w:r>
      <w:r w:rsidRPr="00DE5D19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2020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年强化了监督检查力度，指派市局政务公开办专人负责政务公开督查工作，确保政务公开工作扎实有效地推进。同时，为提高政务公开工作队伍整体素质，</w:t>
      </w:r>
      <w:r w:rsidRPr="00DE5D19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2020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年，市局组织开展政务公开专项培训会</w:t>
      </w:r>
      <w:r w:rsidRPr="00DE5D19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次，派员参加省局及市政府政务公开培训</w:t>
      </w:r>
      <w:r w:rsidRPr="00DE5D19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4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人次，为做好政务公开工作奠定队伍保障。</w:t>
      </w:r>
    </w:p>
    <w:p w14:paraId="584D3CB3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楷体_GB2312" w:eastAsia="楷体_GB2312" w:hAnsi="微软雅黑" w:cs="宋体" w:hint="eastAsia"/>
          <w:color w:val="000000"/>
          <w:kern w:val="0"/>
          <w:sz w:val="32"/>
          <w:szCs w:val="32"/>
        </w:rPr>
        <w:t>(七)积极推进政务公开标准化规范化工作落实。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联合聊城市行政</w:t>
      </w:r>
      <w:proofErr w:type="gramStart"/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审批局</w:t>
      </w:r>
      <w:proofErr w:type="gramEnd"/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印发了《聊城市食品药品监管领域基层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政务公开实施方案》，明确了公开原则、工作目标、时间节点以及各项工作任务，同时，编制了《聊城市食品药品监管领域基层政务公开标准目录》，共</w:t>
      </w:r>
      <w:r w:rsidRPr="00DE5D19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18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项二级公开事项，明确了具体公开内容，并以此为指引，积极督促全市市场监管部门开展好食品药品基层政务公开工作，切实推动食品药品领域政务公开标准化、规范化。</w:t>
      </w:r>
    </w:p>
    <w:p w14:paraId="261E889A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（八）依法履职办理人大建议和政协提案办理结果的公开工作。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人大代表建议与政协提案均源自各位代表深入的调查研究，蕴含着代表对市场监管工作的真知灼见，是科学决策、依法行政、提升工作的巨大动力。</w:t>
      </w:r>
      <w:r w:rsidRPr="00DE5D19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2020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年，我局共办理人大建议、政协提案共</w:t>
      </w:r>
      <w:r w:rsidRPr="00DE5D19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24</w:t>
      </w: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件，均已全部按程序要求答复完毕，并主动公开，各位代表对我局办理工作均表示满意。</w:t>
      </w:r>
    </w:p>
    <w:p w14:paraId="7C6B5329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31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二、主动公开政府信息情况</w:t>
      </w:r>
    </w:p>
    <w:p w14:paraId="3C623638" w14:textId="77777777" w:rsidR="00DE5D19" w:rsidRPr="00DE5D19" w:rsidRDefault="00DE5D19" w:rsidP="00DE5D19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Calibri" w:eastAsia="黑体" w:hAnsi="Calibri" w:cs="Calibri"/>
          <w:color w:val="000000"/>
          <w:kern w:val="0"/>
          <w:sz w:val="17"/>
          <w:szCs w:val="1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913"/>
        <w:gridCol w:w="1966"/>
        <w:gridCol w:w="2086"/>
      </w:tblGrid>
      <w:tr w:rsidR="00DE5D19" w:rsidRPr="00DE5D19" w14:paraId="4C89D94D" w14:textId="77777777" w:rsidTr="00DE5D19">
        <w:trPr>
          <w:trHeight w:val="396"/>
        </w:trPr>
        <w:tc>
          <w:tcPr>
            <w:tcW w:w="9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C6D298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第二十条第（一）项</w:t>
            </w:r>
          </w:p>
        </w:tc>
      </w:tr>
      <w:tr w:rsidR="00DE5D19" w:rsidRPr="00DE5D19" w14:paraId="0E2FA538" w14:textId="77777777" w:rsidTr="00DE5D19">
        <w:trPr>
          <w:trHeight w:val="432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622EC5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92690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本年新制作数量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94AD6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本年新公开数量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F8DC7E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对外公开总数量</w:t>
            </w:r>
          </w:p>
        </w:tc>
      </w:tr>
      <w:tr w:rsidR="00DE5D19" w:rsidRPr="00DE5D19" w14:paraId="14A5D182" w14:textId="77777777" w:rsidTr="00DE5D19">
        <w:trPr>
          <w:trHeight w:val="708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E207D8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规章</w:t>
            </w:r>
          </w:p>
          <w:p w14:paraId="7E53D3A3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（市政府令）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B232D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B16512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7F106C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DE5D19" w:rsidRPr="00DE5D19" w14:paraId="4C13DB80" w14:textId="77777777" w:rsidTr="00DE5D19">
        <w:trPr>
          <w:trHeight w:val="372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632CA3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规范性文件</w:t>
            </w:r>
          </w:p>
          <w:p w14:paraId="4FB43CD6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（有规范性文件登记号）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8EAC7E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7C33F2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E17A0C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DE5D19" w:rsidRPr="00DE5D19" w14:paraId="0174A7CC" w14:textId="77777777" w:rsidTr="00DE5D19">
        <w:trPr>
          <w:trHeight w:val="384"/>
        </w:trPr>
        <w:tc>
          <w:tcPr>
            <w:tcW w:w="90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D89FBB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第二十条第（五）项</w:t>
            </w:r>
          </w:p>
        </w:tc>
      </w:tr>
      <w:tr w:rsidR="00DE5D19" w:rsidRPr="00DE5D19" w14:paraId="0F934435" w14:textId="77777777" w:rsidTr="00DE5D19">
        <w:trPr>
          <w:trHeight w:val="432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55EEEF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lastRenderedPageBreak/>
              <w:t>信息内容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C3F03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上一年项目数量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A2297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本年增/减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9DE627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处理决定数量</w:t>
            </w:r>
          </w:p>
        </w:tc>
      </w:tr>
      <w:tr w:rsidR="00DE5D19" w:rsidRPr="00DE5D19" w14:paraId="456A519E" w14:textId="77777777" w:rsidTr="00DE5D19">
        <w:trPr>
          <w:trHeight w:val="420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AC5729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行政许可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987253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6696FF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+387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BB7AFF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387</w:t>
            </w:r>
          </w:p>
        </w:tc>
      </w:tr>
      <w:tr w:rsidR="00DE5D19" w:rsidRPr="00DE5D19" w14:paraId="0835EA01" w14:textId="77777777" w:rsidTr="00DE5D19">
        <w:trPr>
          <w:trHeight w:val="444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C9F118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其他对外管理服务事项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2DF43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ABFA5C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08047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DE5D19" w:rsidRPr="00DE5D19" w14:paraId="2E46EBB8" w14:textId="77777777" w:rsidTr="00DE5D19">
        <w:trPr>
          <w:trHeight w:val="324"/>
        </w:trPr>
        <w:tc>
          <w:tcPr>
            <w:tcW w:w="90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5EE369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第二十条第（六）项</w:t>
            </w:r>
          </w:p>
        </w:tc>
      </w:tr>
      <w:tr w:rsidR="00DE5D19" w:rsidRPr="00DE5D19" w14:paraId="0EE1499B" w14:textId="77777777" w:rsidTr="00DE5D19">
        <w:trPr>
          <w:trHeight w:val="420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CDAAA3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82347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上一年项目数量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0E4292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本年增/减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CA48B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处理决定数量</w:t>
            </w:r>
          </w:p>
        </w:tc>
      </w:tr>
      <w:tr w:rsidR="00DE5D19" w:rsidRPr="00DE5D19" w14:paraId="485DB454" w14:textId="77777777" w:rsidTr="00DE5D19">
        <w:trPr>
          <w:trHeight w:val="348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D1825E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行政处罚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833FCB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331B1A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＋19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A36B71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31</w:t>
            </w:r>
          </w:p>
        </w:tc>
      </w:tr>
      <w:tr w:rsidR="00DE5D19" w:rsidRPr="00DE5D19" w14:paraId="1D440CEC" w14:textId="77777777" w:rsidTr="00DE5D19">
        <w:trPr>
          <w:trHeight w:val="324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BD21B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行政强制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183C9D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DA0E9B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6F134C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</w:tr>
      <w:tr w:rsidR="00DE5D19" w:rsidRPr="00DE5D19" w14:paraId="4DAD3C00" w14:textId="77777777" w:rsidTr="00DE5D19">
        <w:trPr>
          <w:trHeight w:val="384"/>
        </w:trPr>
        <w:tc>
          <w:tcPr>
            <w:tcW w:w="90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B08A0F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第二十条第（八）项</w:t>
            </w:r>
          </w:p>
        </w:tc>
      </w:tr>
      <w:tr w:rsidR="00DE5D19" w:rsidRPr="00DE5D19" w14:paraId="3C7AA238" w14:textId="77777777" w:rsidTr="00DE5D19">
        <w:trPr>
          <w:trHeight w:val="216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3A65E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7219DE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上一年项目数量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5762EB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本年增/减</w:t>
            </w:r>
          </w:p>
        </w:tc>
      </w:tr>
      <w:tr w:rsidR="00DE5D19" w:rsidRPr="00DE5D19" w14:paraId="51B7DB81" w14:textId="77777777" w:rsidTr="00DE5D19">
        <w:trPr>
          <w:trHeight w:val="444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AE17CF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行政事业性收费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D43564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112B52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DE5D19" w:rsidRPr="00DE5D19" w14:paraId="08406DDC" w14:textId="77777777" w:rsidTr="00DE5D19">
        <w:trPr>
          <w:trHeight w:val="384"/>
        </w:trPr>
        <w:tc>
          <w:tcPr>
            <w:tcW w:w="90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6CC14D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第二十条第（九）项</w:t>
            </w:r>
          </w:p>
        </w:tc>
      </w:tr>
      <w:tr w:rsidR="00DE5D19" w:rsidRPr="00DE5D19" w14:paraId="45DC5028" w14:textId="77777777" w:rsidTr="00DE5D19">
        <w:trPr>
          <w:trHeight w:val="468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C33DF5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2C99DA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采购项目数量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6FC5E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采购总</w:t>
            </w:r>
            <w:proofErr w:type="gramEnd"/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金额</w:t>
            </w:r>
          </w:p>
        </w:tc>
      </w:tr>
      <w:tr w:rsidR="00DE5D19" w:rsidRPr="00DE5D19" w14:paraId="6FCC2C75" w14:textId="77777777" w:rsidTr="00DE5D19">
        <w:trPr>
          <w:trHeight w:val="432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FBD63D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政府集中采购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6B57A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28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7D08EC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1007.25万元</w:t>
            </w:r>
          </w:p>
        </w:tc>
      </w:tr>
    </w:tbl>
    <w:p w14:paraId="06D285E9" w14:textId="77777777" w:rsidR="00DE5D19" w:rsidRPr="00DE5D19" w:rsidRDefault="00DE5D19" w:rsidP="00DE5D19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</w:p>
    <w:p w14:paraId="5567E36E" w14:textId="77777777" w:rsidR="00DE5D19" w:rsidRPr="00DE5D19" w:rsidRDefault="00DE5D19" w:rsidP="00DE5D19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三、收到和处理政府信息公开申请情况</w:t>
      </w:r>
    </w:p>
    <w:p w14:paraId="0D8CDE1D" w14:textId="77777777" w:rsidR="00DE5D19" w:rsidRPr="00DE5D19" w:rsidRDefault="00DE5D19" w:rsidP="00DE5D19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900"/>
        <w:gridCol w:w="1765"/>
        <w:gridCol w:w="729"/>
        <w:gridCol w:w="683"/>
        <w:gridCol w:w="683"/>
        <w:gridCol w:w="730"/>
        <w:gridCol w:w="847"/>
        <w:gridCol w:w="647"/>
        <w:gridCol w:w="636"/>
      </w:tblGrid>
      <w:tr w:rsidR="00DE5D19" w:rsidRPr="00DE5D19" w14:paraId="7CC0C271" w14:textId="77777777" w:rsidTr="00DE5D19">
        <w:tc>
          <w:tcPr>
            <w:tcW w:w="35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31A845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（本列数据的勾</w:t>
            </w:r>
            <w:proofErr w:type="gramStart"/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稽</w:t>
            </w:r>
            <w:proofErr w:type="gramEnd"/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关系为：第一项加第二项之和，等于第三项加第四项之和）</w:t>
            </w:r>
          </w:p>
        </w:tc>
        <w:tc>
          <w:tcPr>
            <w:tcW w:w="54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113F93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申请人情况</w:t>
            </w:r>
          </w:p>
        </w:tc>
      </w:tr>
      <w:tr w:rsidR="00DE5D19" w:rsidRPr="00DE5D19" w14:paraId="4915850E" w14:textId="77777777" w:rsidTr="00DE5D19"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F0534E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B87A5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自然人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39BBB0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21A3E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总计</w:t>
            </w:r>
          </w:p>
        </w:tc>
      </w:tr>
      <w:tr w:rsidR="00DE5D19" w:rsidRPr="00DE5D19" w14:paraId="44597644" w14:textId="77777777" w:rsidTr="00DE5D19"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9E3D54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A3B827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DC749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71256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B415B7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社会公益组织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1E3A7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法律服务机构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772CC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FE719E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E5D19" w:rsidRPr="00DE5D19" w14:paraId="5E6DD071" w14:textId="77777777" w:rsidTr="00DE5D19">
        <w:tc>
          <w:tcPr>
            <w:tcW w:w="35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1AED90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188581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C677B0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EA5BE6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D472E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48D491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0FB7E9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0F3B97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</w:tr>
      <w:tr w:rsidR="00DE5D19" w:rsidRPr="00DE5D19" w14:paraId="4DA54494" w14:textId="77777777" w:rsidTr="00DE5D19">
        <w:tc>
          <w:tcPr>
            <w:tcW w:w="35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E26EEB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lastRenderedPageBreak/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60E7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2647B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9B33A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19F35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9886A6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283C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36D565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DE5D19" w:rsidRPr="00DE5D19" w14:paraId="5E7A6276" w14:textId="77777777" w:rsidTr="00DE5D19"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44C724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98A710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DFBB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BF3CDB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8E6412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1B717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F9E22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666C5B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57A5A5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</w:tr>
      <w:tr w:rsidR="00DE5D19" w:rsidRPr="00DE5D19" w14:paraId="15D05C0F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203990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D03F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E96A4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05DEF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480F0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74B90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EB6B09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5E6CE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24189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</w:tr>
      <w:tr w:rsidR="00DE5D19" w:rsidRPr="00DE5D19" w14:paraId="190C7A03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6860F2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5C1847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（三）不予公开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1C3915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C6939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84A0B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DD411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16F8E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5899AD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0C6C2D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9EA429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</w:tr>
      <w:tr w:rsidR="00DE5D19" w:rsidRPr="00DE5D19" w14:paraId="0578FD4F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B172A6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880E90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A3965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CC1E69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79DE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269A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0B524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60533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666F7B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F8DA0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</w:tr>
      <w:tr w:rsidR="00DE5D19" w:rsidRPr="00DE5D19" w14:paraId="0B510B8F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9A6C6F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EA2A8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2FA0D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3.危及“三安全</w:t>
            </w:r>
            <w:proofErr w:type="gramStart"/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一</w:t>
            </w:r>
            <w:proofErr w:type="gramEnd"/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6F714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5A9A19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D685FB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DE99F0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C48F64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BDA4E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6C06E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</w:tr>
      <w:tr w:rsidR="00DE5D19" w:rsidRPr="00DE5D19" w14:paraId="648E4142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35364E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712181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1F4387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E810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582A4E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5BC07D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F44032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F8E4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180D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88DCD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</w:tr>
      <w:tr w:rsidR="00DE5D19" w:rsidRPr="00DE5D19" w14:paraId="44F7BC0E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6A70B2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722FD5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A1F00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82C4E5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C83212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5D52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3FE3E7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171CE9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D0A8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4AE9C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DE5D19" w:rsidRPr="00DE5D19" w14:paraId="44F1A7EE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F63E79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C79C8B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CD729D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B2BD16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0CDCD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811AD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F08CAB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5143AE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9E2F9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94BBB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</w:tr>
      <w:tr w:rsidR="00DE5D19" w:rsidRPr="00DE5D19" w14:paraId="7C455086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C43081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856C93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A32794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32535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B45D76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7279C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7396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21603D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75B7D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1B597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</w:tr>
      <w:tr w:rsidR="00DE5D19" w:rsidRPr="00DE5D19" w14:paraId="71F31125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2F1A65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1455F4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32537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BA1184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3EE1C1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6752B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DC6F99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B220DD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A3A7C9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689A45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</w:tr>
      <w:tr w:rsidR="00DE5D19" w:rsidRPr="00DE5D19" w14:paraId="3113DB2A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E5AE9B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683504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（四）无法提供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C6C9F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3E2D8B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66052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E0E3A9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8ACE92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237A66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1B8036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125356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DE5D19" w:rsidRPr="00DE5D19" w14:paraId="1CA27CA2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CBBAB0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C5E95F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96CFE2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B1D9E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26E95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590BEB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2AFC4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D1BB1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BC1E5B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E566B9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DE5D19" w:rsidRPr="00DE5D19" w14:paraId="11C977E5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9419E3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B1D46E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2F7E49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CC051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3A9866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F56B02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16D90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1EA2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145A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6A86FE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DE5D19" w:rsidRPr="00DE5D19" w14:paraId="7451F073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0959D1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C7932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（五）</w:t>
            </w:r>
            <w:proofErr w:type="gramStart"/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不予处理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65613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5036C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5347E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FAB5F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24D73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625D0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97F13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0EC2BE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DE5D19" w:rsidRPr="00DE5D19" w14:paraId="369FAC41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26EAE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DCC946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2267E2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F820B2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0B0D1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028061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03CC39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BE8F62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8F80C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C853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DE5D19" w:rsidRPr="00DE5D19" w14:paraId="72E9AA3F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A01DA5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9E0939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D4B815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A6D871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CA4696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02B2A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D4394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66F77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EF4E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554F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DE5D19" w:rsidRPr="00DE5D19" w14:paraId="3A674134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353245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D62C73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74182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CEC0D2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8046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5E455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9673C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E50924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9C6E1E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3925AD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DE5D19" w:rsidRPr="00DE5D19" w14:paraId="58C409BA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D3C30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3ABE2E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9E9BC9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CB6D3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2AF410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E1CC1F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0B7F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7DB45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7BC632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6F315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DE5D19" w:rsidRPr="00DE5D19" w14:paraId="053908AD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B616D5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96E9A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8EAAA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365DC1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B783B7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44CBB6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7E2D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D6A7F4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F5FEB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DE5D19" w:rsidRPr="00DE5D19" w14:paraId="692D98D8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0E7AD5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B411A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4D68E0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BD1876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064D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8B32B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E3B29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C052C2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33C586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</w:tr>
      <w:tr w:rsidR="00DE5D19" w:rsidRPr="00DE5D19" w14:paraId="39174EFA" w14:textId="77777777" w:rsidTr="00DE5D19">
        <w:tc>
          <w:tcPr>
            <w:tcW w:w="35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4D775B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E88C37" w14:textId="77777777" w:rsidR="00DE5D19" w:rsidRPr="00DE5D19" w:rsidRDefault="00DE5D19" w:rsidP="00DE5D19">
            <w:pPr>
              <w:widowControl/>
              <w:wordWrap w:val="0"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57EFA0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909834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2BDCE1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C5835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4CBE7B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443BB" w14:textId="77777777" w:rsidR="00DE5D19" w:rsidRPr="00DE5D19" w:rsidRDefault="00DE5D19" w:rsidP="00DE5D19">
            <w:pPr>
              <w:widowControl/>
              <w:wordWrap w:val="0"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</w:tbl>
    <w:p w14:paraId="4E3D91D4" w14:textId="77777777" w:rsidR="00DE5D19" w:rsidRPr="00DE5D19" w:rsidRDefault="00DE5D19" w:rsidP="00DE5D19">
      <w:pPr>
        <w:widowControl/>
        <w:shd w:val="clear" w:color="auto" w:fill="FFFFFF"/>
        <w:spacing w:after="150" w:line="55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</w:p>
    <w:p w14:paraId="2B105705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16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四、政府信息公开行政复议、行政诉讼情况</w:t>
      </w:r>
    </w:p>
    <w:p w14:paraId="2CE72EF6" w14:textId="77777777" w:rsidR="00DE5D19" w:rsidRPr="00DE5D19" w:rsidRDefault="00DE5D19" w:rsidP="00DE5D19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Calibri" w:eastAsia="黑体" w:hAnsi="Calibri" w:cs="Calibri"/>
          <w:color w:val="000000"/>
          <w:kern w:val="0"/>
          <w:sz w:val="32"/>
          <w:szCs w:val="32"/>
        </w:rPr>
        <w:lastRenderedPageBreak/>
        <w:t> </w:t>
      </w: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60"/>
        <w:gridCol w:w="555"/>
        <w:gridCol w:w="600"/>
        <w:gridCol w:w="600"/>
        <w:gridCol w:w="600"/>
        <w:gridCol w:w="600"/>
        <w:gridCol w:w="660"/>
        <w:gridCol w:w="600"/>
        <w:gridCol w:w="600"/>
        <w:gridCol w:w="600"/>
        <w:gridCol w:w="600"/>
      </w:tblGrid>
      <w:tr w:rsidR="00DE5D19" w:rsidRPr="00DE5D19" w14:paraId="23A4B379" w14:textId="77777777" w:rsidTr="00DE5D19"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016C88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行政复议</w:t>
            </w:r>
          </w:p>
        </w:tc>
        <w:tc>
          <w:tcPr>
            <w:tcW w:w="601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AD7D18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行政诉讼</w:t>
            </w:r>
          </w:p>
        </w:tc>
      </w:tr>
      <w:tr w:rsidR="00DE5D19" w:rsidRPr="00DE5D19" w14:paraId="5E209B9B" w14:textId="77777777" w:rsidTr="00DE5D19"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85F3D1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E737A6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4EA0EB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800C88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DA598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总计</w:t>
            </w:r>
          </w:p>
        </w:tc>
        <w:tc>
          <w:tcPr>
            <w:tcW w:w="29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694D6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未经复议直接起诉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387656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复议后起诉</w:t>
            </w:r>
          </w:p>
        </w:tc>
      </w:tr>
      <w:tr w:rsidR="00DE5D19" w:rsidRPr="00DE5D19" w14:paraId="33C456C3" w14:textId="77777777" w:rsidTr="00DE5D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FE6566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84B698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DDC6F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DE4180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83A7AA" w14:textId="77777777" w:rsidR="00DE5D19" w:rsidRPr="00DE5D19" w:rsidRDefault="00DE5D19" w:rsidP="00DE5D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3E844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B26BCC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DE2496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E6029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2C04A7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总计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B2289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288729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D5FBDF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C7AE4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7377B6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总计</w:t>
            </w:r>
          </w:p>
        </w:tc>
      </w:tr>
      <w:tr w:rsidR="00DE5D19" w:rsidRPr="00DE5D19" w14:paraId="2F8226EC" w14:textId="77777777" w:rsidTr="00DE5D19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4141EC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8AAE5B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4FDF07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C070E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77323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8D164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75D4B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DBC08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D3530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25F2E3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3CE26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685FEC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34AB97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A784F1" w14:textId="77777777" w:rsidR="00DE5D19" w:rsidRPr="00DE5D19" w:rsidRDefault="00DE5D19" w:rsidP="00DE5D19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E5D19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3D72A" w14:textId="77777777" w:rsidR="00DE5D19" w:rsidRPr="00DE5D19" w:rsidRDefault="00DE5D19" w:rsidP="00DE5D19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DE5D19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</w:tbl>
    <w:p w14:paraId="2F1BFC35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五、存在的主要问题及改进情况</w:t>
      </w:r>
    </w:p>
    <w:p w14:paraId="5FA75A3D" w14:textId="77777777" w:rsidR="00DE5D19" w:rsidRPr="00DE5D19" w:rsidRDefault="00DE5D19" w:rsidP="00DE5D19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机构改革后，虽基本完成原各局政府信息公开整合工作，但也暴露出薄弱环节与不足，如工作中对原始信息摄取障碍较多、新媒体平台与业务工作粘和度不够、信息化管理水平不高、网上服务能力较弱等功能尚不完善，数据发布还不够充分等。</w:t>
      </w:r>
    </w:p>
    <w:p w14:paraId="323DBFF6" w14:textId="77777777" w:rsidR="00DE5D19" w:rsidRPr="00DE5D19" w:rsidRDefault="00DE5D19" w:rsidP="00DE5D19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下一步，我局将以新建市场监管局网站为契机，进一步优化栏目结构，重点强化信息内容的实用性和信息获取的便捷性，丰富公开内容、拓展互动渠道、优化网上办事流程，提高网上办事及公众互动便利度，助推我局政府信息公开工作再上新台阶。</w:t>
      </w:r>
    </w:p>
    <w:p w14:paraId="05FA0621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六、其他需要报告的事项</w:t>
      </w:r>
    </w:p>
    <w:p w14:paraId="63C9D795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42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无</w:t>
      </w:r>
    </w:p>
    <w:p w14:paraId="516066CA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645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14:paraId="7A54304A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645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shd w:val="clear" w:color="auto" w:fill="FFFFFF"/>
        </w:rPr>
        <w:t>聊城市市场监督管理局</w:t>
      </w:r>
    </w:p>
    <w:p w14:paraId="0ACD9015" w14:textId="77777777" w:rsidR="00DE5D19" w:rsidRPr="00DE5D19" w:rsidRDefault="00DE5D19" w:rsidP="00DE5D19">
      <w:pPr>
        <w:widowControl/>
        <w:shd w:val="clear" w:color="auto" w:fill="FFFFFF"/>
        <w:spacing w:line="555" w:lineRule="atLeast"/>
        <w:ind w:firstLine="645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5D1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2021年1月26日</w:t>
      </w:r>
    </w:p>
    <w:p w14:paraId="3CD19EB9" w14:textId="77777777" w:rsidR="00DE5D19" w:rsidRDefault="00DE5D19">
      <w:pPr>
        <w:rPr>
          <w:rFonts w:hint="eastAsia"/>
        </w:rPr>
      </w:pPr>
    </w:p>
    <w:sectPr w:rsidR="00DE5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B0602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19"/>
    <w:rsid w:val="002B466E"/>
    <w:rsid w:val="007513A0"/>
    <w:rsid w:val="00D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28B9"/>
  <w15:chartTrackingRefBased/>
  <w15:docId w15:val="{44A7025F-E1A9-49E9-B644-45F78CC6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DE5D1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D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DE5D19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35355</dc:creator>
  <cp:keywords/>
  <dc:description/>
  <cp:lastModifiedBy>35355</cp:lastModifiedBy>
  <cp:revision>5</cp:revision>
  <dcterms:created xsi:type="dcterms:W3CDTF">2021-07-04T05:18:00Z</dcterms:created>
  <dcterms:modified xsi:type="dcterms:W3CDTF">2021-07-04T05:19:00Z</dcterms:modified>
</cp:coreProperties>
</file>